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AAA8" w14:textId="77777777" w:rsidR="00F676C9" w:rsidRDefault="00F676C9" w:rsidP="00F676C9">
      <w:pPr>
        <w:jc w:val="both"/>
      </w:pPr>
      <w:r>
        <w:t>A la atención de la Agencia Estatal de Administración Tributaria.</w:t>
      </w:r>
    </w:p>
    <w:p w14:paraId="7EE04632" w14:textId="0A12080F" w:rsidR="00AD1BD0" w:rsidRDefault="00F676C9" w:rsidP="00F676C9">
      <w:pPr>
        <w:jc w:val="both"/>
      </w:pPr>
      <w:r>
        <w:t>Mediante el presente escrito declaro que las empresas que se indican más abajo tienen la consideración de asociadas o vinculadas con la empresa [denominación social, CIF]:</w:t>
      </w:r>
    </w:p>
    <w:p w14:paraId="70CBDFCB" w14:textId="4F9052D1" w:rsidR="00F676C9" w:rsidRDefault="00F676C9" w:rsidP="00F676C9">
      <w:pPr>
        <w:pStyle w:val="Prrafodelista"/>
        <w:numPr>
          <w:ilvl w:val="0"/>
          <w:numId w:val="1"/>
        </w:numPr>
        <w:jc w:val="both"/>
      </w:pPr>
      <w:r>
        <w:t>[Denominación social] [CIF] [Razón Social] [Porcentaje de participación]</w:t>
      </w:r>
    </w:p>
    <w:p w14:paraId="3C07AB27" w14:textId="77777777" w:rsidR="00F676C9" w:rsidRDefault="00F676C9" w:rsidP="00F676C9">
      <w:pPr>
        <w:pStyle w:val="Prrafodelista"/>
        <w:numPr>
          <w:ilvl w:val="0"/>
          <w:numId w:val="1"/>
        </w:numPr>
        <w:jc w:val="both"/>
      </w:pPr>
      <w:r>
        <w:t>[Denominación social] [CIF] [Razón Social] [Porcentaje de participación]</w:t>
      </w:r>
    </w:p>
    <w:p w14:paraId="0D3DBA3B" w14:textId="77777777" w:rsidR="00F676C9" w:rsidRDefault="00F676C9" w:rsidP="00F676C9">
      <w:pPr>
        <w:pStyle w:val="Prrafodelista"/>
        <w:numPr>
          <w:ilvl w:val="0"/>
          <w:numId w:val="1"/>
        </w:numPr>
        <w:jc w:val="both"/>
      </w:pPr>
      <w:r>
        <w:t>[Denominación social] [CIF] [Razón Social] [Porcentaje de participación]</w:t>
      </w:r>
    </w:p>
    <w:p w14:paraId="6EC5F9A9" w14:textId="3613E27D" w:rsidR="00F676C9" w:rsidRDefault="00F676C9" w:rsidP="00F676C9">
      <w:pPr>
        <w:pStyle w:val="Prrafodelista"/>
        <w:numPr>
          <w:ilvl w:val="0"/>
          <w:numId w:val="1"/>
        </w:numPr>
        <w:jc w:val="both"/>
      </w:pPr>
      <w:r>
        <w:t>…</w:t>
      </w:r>
    </w:p>
    <w:p w14:paraId="33E497F3" w14:textId="3598336E" w:rsidR="00F676C9" w:rsidRDefault="00F676C9" w:rsidP="00F676C9">
      <w:pPr>
        <w:jc w:val="both"/>
      </w:pPr>
      <w:r>
        <w:t>Asimismo, autorizo/no autorizo a que la Agencia Estatal de Administración Tributaria pueda intercambiar información de las solicitudes de ayudas presentadas y concedidas con otras Administraciones competentes para la tramitación y pago de la ayuda extraordinaria y temporal para sufragar el precio de determinados productos energéticos para las empresas de transporte por carretera que tiene derecho a la devolución del impuesto sobre Hidrocarburos por el gasóleo de uso profesional, a los efectos de garantizar la observancia de las cantidades máximas por beneficiario teniendo en cuenta las ayudas concedidas a otras empresas por considerarse empresas asociadas o vinculadas de acuerdo con las Decisiones al respecto aprobadas de conformidad con las normas del Marco Temporal Europeo Ucrania.</w:t>
      </w:r>
    </w:p>
    <w:p w14:paraId="2AF9CA25" w14:textId="03D6922F" w:rsidR="00F676C9" w:rsidRDefault="00F676C9" w:rsidP="00F676C9">
      <w:pPr>
        <w:jc w:val="both"/>
      </w:pPr>
      <w:r>
        <w:t>Fdo.</w:t>
      </w:r>
    </w:p>
    <w:sectPr w:rsidR="00F6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513"/>
    <w:multiLevelType w:val="hybridMultilevel"/>
    <w:tmpl w:val="BC686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9"/>
    <w:rsid w:val="000D1DC6"/>
    <w:rsid w:val="00AD1BD0"/>
    <w:rsid w:val="00CA1862"/>
    <w:rsid w:val="00F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6BE9"/>
  <w15:chartTrackingRefBased/>
  <w15:docId w15:val="{70E8BCCA-6EBD-48D6-8F40-30800099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Antonio Martinez</dc:creator>
  <cp:keywords/>
  <dc:description/>
  <cp:lastModifiedBy>CETM-Madrid</cp:lastModifiedBy>
  <cp:revision>2</cp:revision>
  <dcterms:created xsi:type="dcterms:W3CDTF">2023-01-26T10:31:00Z</dcterms:created>
  <dcterms:modified xsi:type="dcterms:W3CDTF">2023-01-26T10:31:00Z</dcterms:modified>
</cp:coreProperties>
</file>